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6C19" w:rsidRPr="00373B71" w:rsidRDefault="00296C19" w:rsidP="00296C19">
      <w:pPr>
        <w:spacing w:after="0" w:line="240" w:lineRule="auto"/>
        <w:jc w:val="center"/>
        <w:rPr>
          <w:rFonts w:cstheme="minorHAnsi"/>
          <w:b/>
          <w:i/>
          <w:sz w:val="20"/>
          <w:szCs w:val="20"/>
        </w:rPr>
      </w:pPr>
      <w:r w:rsidRPr="00373B71">
        <w:rPr>
          <w:rFonts w:cstheme="minorHAnsi"/>
          <w:b/>
          <w:i/>
          <w:sz w:val="20"/>
          <w:szCs w:val="20"/>
        </w:rPr>
        <w:t>INSTITUTO JALISCIENSE DE LAS MUJERES</w:t>
      </w:r>
    </w:p>
    <w:p w:rsidR="00296C19" w:rsidRPr="005F1910" w:rsidRDefault="00296C19" w:rsidP="00296C19">
      <w:pPr>
        <w:spacing w:after="0" w:line="240" w:lineRule="auto"/>
        <w:jc w:val="center"/>
        <w:rPr>
          <w:rFonts w:cstheme="minorHAnsi"/>
          <w:b/>
          <w:i/>
          <w:szCs w:val="20"/>
          <w:u w:val="single"/>
        </w:rPr>
      </w:pPr>
      <w:r>
        <w:rPr>
          <w:rFonts w:cstheme="minorHAnsi"/>
          <w:b/>
          <w:i/>
          <w:szCs w:val="20"/>
        </w:rPr>
        <w:t xml:space="preserve">Requerimiento de Publicación inciso o) La información sobre adjudicaciones directas en materia de </w:t>
      </w:r>
      <w:r w:rsidR="00122D91">
        <w:rPr>
          <w:rFonts w:cstheme="minorHAnsi"/>
          <w:b/>
          <w:i/>
          <w:szCs w:val="20"/>
        </w:rPr>
        <w:t>adquisiciones</w:t>
      </w:r>
      <w:r>
        <w:rPr>
          <w:rFonts w:cstheme="minorHAnsi"/>
          <w:b/>
          <w:i/>
          <w:szCs w:val="20"/>
        </w:rPr>
        <w:t>, obra pública, proyectos de inversión y prestación de servicios, de cuando menos los últimos tres años</w:t>
      </w:r>
    </w:p>
    <w:p w:rsidR="00296C19" w:rsidRPr="00373B71" w:rsidRDefault="00296C19" w:rsidP="00296C19">
      <w:pPr>
        <w:spacing w:after="0" w:line="240" w:lineRule="auto"/>
        <w:jc w:val="center"/>
        <w:rPr>
          <w:rFonts w:cstheme="minorHAnsi"/>
          <w:b/>
          <w:i/>
          <w:sz w:val="20"/>
          <w:szCs w:val="20"/>
        </w:rPr>
      </w:pPr>
    </w:p>
    <w:tbl>
      <w:tblPr>
        <w:tblStyle w:val="Tablaconcuadrcula"/>
        <w:tblW w:w="0" w:type="auto"/>
        <w:tblLook w:val="04A0" w:firstRow="1" w:lastRow="0" w:firstColumn="1" w:lastColumn="0" w:noHBand="0" w:noVBand="1"/>
      </w:tblPr>
      <w:tblGrid>
        <w:gridCol w:w="4322"/>
        <w:gridCol w:w="4322"/>
      </w:tblGrid>
      <w:tr w:rsidR="00296C19" w:rsidRPr="00373B71" w:rsidTr="00E469D8">
        <w:tc>
          <w:tcPr>
            <w:tcW w:w="4322" w:type="dxa"/>
          </w:tcPr>
          <w:p w:rsidR="00296C19" w:rsidRPr="00373B71" w:rsidRDefault="00296C19" w:rsidP="00E469D8">
            <w:pPr>
              <w:jc w:val="center"/>
              <w:rPr>
                <w:rFonts w:cstheme="minorHAnsi"/>
                <w:b/>
                <w:sz w:val="20"/>
                <w:szCs w:val="20"/>
              </w:rPr>
            </w:pPr>
            <w:r w:rsidRPr="00373B71">
              <w:rPr>
                <w:rFonts w:cstheme="minorHAnsi"/>
                <w:b/>
                <w:sz w:val="20"/>
                <w:szCs w:val="20"/>
              </w:rPr>
              <w:t>DESCRIPCION</w:t>
            </w:r>
          </w:p>
        </w:tc>
        <w:tc>
          <w:tcPr>
            <w:tcW w:w="4322" w:type="dxa"/>
          </w:tcPr>
          <w:p w:rsidR="00296C19" w:rsidRPr="00373B71" w:rsidRDefault="00296C19" w:rsidP="00E469D8">
            <w:pPr>
              <w:jc w:val="center"/>
              <w:rPr>
                <w:rFonts w:cstheme="minorHAnsi"/>
                <w:b/>
                <w:sz w:val="20"/>
                <w:szCs w:val="20"/>
              </w:rPr>
            </w:pPr>
            <w:r w:rsidRPr="00373B71">
              <w:rPr>
                <w:rFonts w:cstheme="minorHAnsi"/>
                <w:b/>
                <w:sz w:val="20"/>
                <w:szCs w:val="20"/>
              </w:rPr>
              <w:t>ACCIONES</w:t>
            </w:r>
          </w:p>
        </w:tc>
      </w:tr>
      <w:tr w:rsidR="00296C19" w:rsidRPr="00373B71" w:rsidTr="00E469D8">
        <w:tc>
          <w:tcPr>
            <w:tcW w:w="4322" w:type="dxa"/>
          </w:tcPr>
          <w:p w:rsidR="00296C19" w:rsidRPr="00373B71" w:rsidRDefault="00296C19" w:rsidP="00E469D8">
            <w:pPr>
              <w:jc w:val="both"/>
              <w:rPr>
                <w:rFonts w:cstheme="minorHAnsi"/>
                <w:sz w:val="20"/>
                <w:szCs w:val="20"/>
              </w:rPr>
            </w:pPr>
            <w:r>
              <w:rPr>
                <w:rFonts w:cstheme="minorHAnsi"/>
                <w:sz w:val="20"/>
                <w:szCs w:val="20"/>
              </w:rPr>
              <w:t>La propuesta enviada por el participante</w:t>
            </w:r>
            <w:r w:rsidRPr="00373B71">
              <w:rPr>
                <w:rFonts w:cstheme="minorHAnsi"/>
                <w:sz w:val="20"/>
                <w:szCs w:val="20"/>
              </w:rPr>
              <w:t>.</w:t>
            </w:r>
          </w:p>
        </w:tc>
        <w:tc>
          <w:tcPr>
            <w:tcW w:w="4322" w:type="dxa"/>
          </w:tcPr>
          <w:p w:rsidR="00296C19" w:rsidRPr="00373B71" w:rsidRDefault="00FA19D6" w:rsidP="00FA19D6">
            <w:pPr>
              <w:jc w:val="both"/>
              <w:rPr>
                <w:rFonts w:cstheme="minorHAnsi"/>
                <w:sz w:val="20"/>
                <w:szCs w:val="20"/>
              </w:rPr>
            </w:pPr>
            <w:r>
              <w:rPr>
                <w:rFonts w:cstheme="minorHAnsi"/>
                <w:sz w:val="20"/>
                <w:szCs w:val="20"/>
              </w:rPr>
              <w:t xml:space="preserve">No se cuenta con propuesta del participante en virtud de que fue Adjudicación Directa porque contamos </w:t>
            </w:r>
            <w:r w:rsidRPr="007327C2">
              <w:rPr>
                <w:rFonts w:cstheme="minorHAnsi"/>
                <w:sz w:val="20"/>
                <w:szCs w:val="20"/>
              </w:rPr>
              <w:t>solo con un periodo para su reparación y pintura del 04 al 07 de mayo 2017, por lo que no fue posible obtenerse el servicio en el tiempo necesario para convocar, retraso en la constitución formal del Comité de Adquisiciones y considerando la necesidad adecuar el inmueble para arranque de funciones el 08 de mayo de 2017, limitándose a la compra de los estrictamente necesario para dicho fin.</w:t>
            </w:r>
          </w:p>
        </w:tc>
      </w:tr>
      <w:tr w:rsidR="00296C19" w:rsidRPr="00373B71" w:rsidTr="00E469D8">
        <w:tc>
          <w:tcPr>
            <w:tcW w:w="4322" w:type="dxa"/>
          </w:tcPr>
          <w:p w:rsidR="00296C19" w:rsidRPr="00373B71" w:rsidRDefault="00296C19" w:rsidP="00E469D8">
            <w:pPr>
              <w:jc w:val="both"/>
              <w:rPr>
                <w:rFonts w:cstheme="minorHAnsi"/>
                <w:sz w:val="20"/>
                <w:szCs w:val="20"/>
              </w:rPr>
            </w:pPr>
            <w:r>
              <w:rPr>
                <w:rFonts w:cstheme="minorHAnsi"/>
                <w:sz w:val="20"/>
                <w:szCs w:val="20"/>
              </w:rPr>
              <w:t>Los motivos y fundamentos legales aplicados para llevarla a cabo.</w:t>
            </w:r>
          </w:p>
          <w:p w:rsidR="00296C19" w:rsidRPr="00373B71" w:rsidRDefault="00296C19" w:rsidP="00E469D8">
            <w:pPr>
              <w:jc w:val="both"/>
              <w:rPr>
                <w:rFonts w:cstheme="minorHAnsi"/>
                <w:sz w:val="20"/>
                <w:szCs w:val="20"/>
              </w:rPr>
            </w:pPr>
          </w:p>
        </w:tc>
        <w:tc>
          <w:tcPr>
            <w:tcW w:w="4322" w:type="dxa"/>
          </w:tcPr>
          <w:p w:rsidR="00296C19" w:rsidRPr="00542BDF" w:rsidRDefault="00122D91" w:rsidP="004100D6">
            <w:pPr>
              <w:jc w:val="both"/>
              <w:rPr>
                <w:rFonts w:cstheme="minorHAnsi"/>
                <w:b/>
                <w:sz w:val="20"/>
                <w:szCs w:val="20"/>
              </w:rPr>
            </w:pPr>
            <w:r w:rsidRPr="007327C2">
              <w:rPr>
                <w:rFonts w:cstheme="minorHAnsi"/>
                <w:sz w:val="20"/>
                <w:szCs w:val="20"/>
              </w:rPr>
              <w:t>Artículo</w:t>
            </w:r>
            <w:r w:rsidR="00D5142D" w:rsidRPr="007327C2">
              <w:rPr>
                <w:rFonts w:cstheme="minorHAnsi"/>
                <w:sz w:val="20"/>
                <w:szCs w:val="20"/>
              </w:rPr>
              <w:t xml:space="preserve"> 73 de Ley de Compras Gubernamentales, Enajenaciones y Contratación de Servicios del Estado de</w:t>
            </w:r>
            <w:r w:rsidR="004100D6" w:rsidRPr="007327C2">
              <w:rPr>
                <w:rFonts w:cstheme="minorHAnsi"/>
                <w:sz w:val="20"/>
                <w:szCs w:val="20"/>
              </w:rPr>
              <w:t xml:space="preserve"> Jalisco y sus Municipios, el </w:t>
            </w:r>
            <w:r w:rsidRPr="007327C2">
              <w:rPr>
                <w:rFonts w:cstheme="minorHAnsi"/>
                <w:sz w:val="20"/>
                <w:szCs w:val="20"/>
              </w:rPr>
              <w:t>día</w:t>
            </w:r>
            <w:r w:rsidR="00D5142D" w:rsidRPr="007327C2">
              <w:rPr>
                <w:rFonts w:cstheme="minorHAnsi"/>
                <w:sz w:val="20"/>
                <w:szCs w:val="20"/>
              </w:rPr>
              <w:t xml:space="preserve"> 02 de mayo de 2017, el DIF prestó un inmueble ubicado en calle 5 de </w:t>
            </w:r>
            <w:proofErr w:type="gramStart"/>
            <w:r w:rsidR="00D5142D" w:rsidRPr="007327C2">
              <w:rPr>
                <w:rFonts w:cstheme="minorHAnsi"/>
                <w:sz w:val="20"/>
                <w:szCs w:val="20"/>
              </w:rPr>
              <w:t>Febrero</w:t>
            </w:r>
            <w:proofErr w:type="gramEnd"/>
            <w:r w:rsidR="00D5142D" w:rsidRPr="007327C2">
              <w:rPr>
                <w:rFonts w:cstheme="minorHAnsi"/>
                <w:sz w:val="20"/>
                <w:szCs w:val="20"/>
              </w:rPr>
              <w:t xml:space="preserve"> No. 1304, contando solo </w:t>
            </w:r>
            <w:r w:rsidR="004100D6" w:rsidRPr="007327C2">
              <w:rPr>
                <w:rFonts w:cstheme="minorHAnsi"/>
                <w:sz w:val="20"/>
                <w:szCs w:val="20"/>
              </w:rPr>
              <w:t>con un periodo para su reparació</w:t>
            </w:r>
            <w:r w:rsidR="00D5142D" w:rsidRPr="007327C2">
              <w:rPr>
                <w:rFonts w:cstheme="minorHAnsi"/>
                <w:sz w:val="20"/>
                <w:szCs w:val="20"/>
              </w:rPr>
              <w:t>n y pintura del 04 al 07 de mayo 2017, por lo que no fue posible obtenerse el servicio en el tiempo nece</w:t>
            </w:r>
            <w:r w:rsidR="004100D6" w:rsidRPr="007327C2">
              <w:rPr>
                <w:rFonts w:cstheme="minorHAnsi"/>
                <w:sz w:val="20"/>
                <w:szCs w:val="20"/>
              </w:rPr>
              <w:t>s</w:t>
            </w:r>
            <w:r w:rsidR="00D5142D" w:rsidRPr="007327C2">
              <w:rPr>
                <w:rFonts w:cstheme="minorHAnsi"/>
                <w:sz w:val="20"/>
                <w:szCs w:val="20"/>
              </w:rPr>
              <w:t>ario para convocar, retraso en la constitución formal del Comité de Adquisiciones y considerando la necesidad adecuar el inmueble para arranque de funciones el 08 de mayo de 2017, limit</w:t>
            </w:r>
            <w:r w:rsidR="004100D6" w:rsidRPr="007327C2">
              <w:rPr>
                <w:rFonts w:cstheme="minorHAnsi"/>
                <w:sz w:val="20"/>
                <w:szCs w:val="20"/>
              </w:rPr>
              <w:t>ándose a la compra de los estr</w:t>
            </w:r>
            <w:r w:rsidR="00D5142D" w:rsidRPr="007327C2">
              <w:rPr>
                <w:rFonts w:cstheme="minorHAnsi"/>
                <w:sz w:val="20"/>
                <w:szCs w:val="20"/>
              </w:rPr>
              <w:t>ictamente necesario para dicho fin.</w:t>
            </w:r>
          </w:p>
        </w:tc>
      </w:tr>
      <w:tr w:rsidR="00296C19" w:rsidRPr="00373B71" w:rsidTr="00E469D8">
        <w:tc>
          <w:tcPr>
            <w:tcW w:w="4322" w:type="dxa"/>
          </w:tcPr>
          <w:p w:rsidR="00296C19" w:rsidRDefault="00296C19" w:rsidP="00E469D8">
            <w:pPr>
              <w:jc w:val="both"/>
              <w:rPr>
                <w:rFonts w:cstheme="minorHAnsi"/>
                <w:sz w:val="20"/>
                <w:szCs w:val="20"/>
              </w:rPr>
            </w:pPr>
            <w:r>
              <w:rPr>
                <w:rFonts w:cstheme="minorHAnsi"/>
                <w:sz w:val="20"/>
                <w:szCs w:val="20"/>
              </w:rPr>
              <w:t>La Autorización del ejercicio de la opción.</w:t>
            </w:r>
          </w:p>
        </w:tc>
        <w:tc>
          <w:tcPr>
            <w:tcW w:w="4322" w:type="dxa"/>
          </w:tcPr>
          <w:p w:rsidR="00296C19" w:rsidRPr="00DA389A" w:rsidRDefault="00296C19" w:rsidP="00E469D8">
            <w:pPr>
              <w:jc w:val="both"/>
              <w:rPr>
                <w:rFonts w:cstheme="minorHAnsi"/>
                <w:sz w:val="20"/>
                <w:szCs w:val="20"/>
              </w:rPr>
            </w:pPr>
            <w:r>
              <w:rPr>
                <w:rFonts w:cstheme="minorHAnsi"/>
                <w:sz w:val="20"/>
                <w:szCs w:val="20"/>
              </w:rPr>
              <w:t xml:space="preserve">Se sometió a consideración del comité de Adquisiciones Estatales, quedando autorizado el </w:t>
            </w:r>
            <w:r w:rsidR="00122D91">
              <w:rPr>
                <w:rFonts w:cstheme="minorHAnsi"/>
                <w:sz w:val="20"/>
                <w:szCs w:val="20"/>
              </w:rPr>
              <w:t>día</w:t>
            </w:r>
            <w:r>
              <w:rPr>
                <w:rFonts w:cstheme="minorHAnsi"/>
                <w:sz w:val="20"/>
                <w:szCs w:val="20"/>
              </w:rPr>
              <w:t xml:space="preserve"> 30 de mayo del 2017 </w:t>
            </w:r>
          </w:p>
        </w:tc>
      </w:tr>
      <w:tr w:rsidR="00296C19" w:rsidRPr="00373B71" w:rsidTr="00E469D8">
        <w:tc>
          <w:tcPr>
            <w:tcW w:w="4322" w:type="dxa"/>
          </w:tcPr>
          <w:p w:rsidR="00296C19" w:rsidRDefault="00296C19" w:rsidP="00E469D8">
            <w:pPr>
              <w:jc w:val="both"/>
              <w:rPr>
                <w:rFonts w:cstheme="minorHAnsi"/>
                <w:sz w:val="20"/>
                <w:szCs w:val="20"/>
              </w:rPr>
            </w:pPr>
            <w:r>
              <w:rPr>
                <w:rFonts w:cstheme="minorHAnsi"/>
                <w:sz w:val="20"/>
                <w:szCs w:val="20"/>
              </w:rPr>
              <w:t>En su caso, las cotizaciones consideradas especificando los nombres de los proveedores y los montos.</w:t>
            </w:r>
          </w:p>
        </w:tc>
        <w:tc>
          <w:tcPr>
            <w:tcW w:w="4322" w:type="dxa"/>
          </w:tcPr>
          <w:p w:rsidR="00296C19" w:rsidRDefault="00122D91" w:rsidP="00122D91">
            <w:pPr>
              <w:jc w:val="both"/>
              <w:rPr>
                <w:rFonts w:cstheme="minorHAnsi"/>
                <w:sz w:val="20"/>
                <w:szCs w:val="20"/>
              </w:rPr>
            </w:pPr>
            <w:r>
              <w:rPr>
                <w:rFonts w:cstheme="minorHAnsi"/>
                <w:sz w:val="20"/>
                <w:szCs w:val="20"/>
              </w:rPr>
              <w:t xml:space="preserve">No se cuenta con cotizaciones, en virtud de que  contamos </w:t>
            </w:r>
            <w:r w:rsidRPr="007327C2">
              <w:rPr>
                <w:rFonts w:cstheme="minorHAnsi"/>
                <w:sz w:val="20"/>
                <w:szCs w:val="20"/>
              </w:rPr>
              <w:t>solo con un periodo para su reparación y pintura</w:t>
            </w:r>
            <w:r>
              <w:rPr>
                <w:rFonts w:cstheme="minorHAnsi"/>
                <w:sz w:val="20"/>
                <w:szCs w:val="20"/>
              </w:rPr>
              <w:t>.</w:t>
            </w:r>
            <w:bookmarkStart w:id="0" w:name="_GoBack"/>
            <w:bookmarkEnd w:id="0"/>
          </w:p>
        </w:tc>
      </w:tr>
      <w:tr w:rsidR="00296C19" w:rsidRPr="00373B71" w:rsidTr="00E469D8">
        <w:tc>
          <w:tcPr>
            <w:tcW w:w="4322" w:type="dxa"/>
          </w:tcPr>
          <w:p w:rsidR="00296C19" w:rsidRPr="00373B71" w:rsidRDefault="00296C19" w:rsidP="00E469D8">
            <w:pPr>
              <w:jc w:val="both"/>
              <w:rPr>
                <w:rFonts w:cstheme="minorHAnsi"/>
                <w:sz w:val="20"/>
                <w:szCs w:val="20"/>
              </w:rPr>
            </w:pPr>
            <w:r>
              <w:rPr>
                <w:rFonts w:cstheme="minorHAnsi"/>
                <w:sz w:val="20"/>
                <w:szCs w:val="20"/>
              </w:rPr>
              <w:t xml:space="preserve">El nombre de la persona física o jurídica </w:t>
            </w:r>
            <w:proofErr w:type="gramStart"/>
            <w:r>
              <w:rPr>
                <w:rFonts w:cstheme="minorHAnsi"/>
                <w:sz w:val="20"/>
                <w:szCs w:val="20"/>
              </w:rPr>
              <w:t>adjudicada.</w:t>
            </w:r>
            <w:r w:rsidRPr="00373B71">
              <w:rPr>
                <w:rFonts w:cstheme="minorHAnsi"/>
                <w:sz w:val="20"/>
                <w:szCs w:val="20"/>
              </w:rPr>
              <w:t>.</w:t>
            </w:r>
            <w:proofErr w:type="gramEnd"/>
          </w:p>
        </w:tc>
        <w:tc>
          <w:tcPr>
            <w:tcW w:w="4322" w:type="dxa"/>
          </w:tcPr>
          <w:p w:rsidR="00296C19" w:rsidRPr="00E438C9" w:rsidRDefault="00D5142D" w:rsidP="00D5142D">
            <w:pPr>
              <w:pStyle w:val="Prrafodelista"/>
              <w:numPr>
                <w:ilvl w:val="0"/>
                <w:numId w:val="1"/>
              </w:numPr>
              <w:rPr>
                <w:rFonts w:cstheme="minorHAnsi"/>
                <w:sz w:val="20"/>
                <w:szCs w:val="20"/>
              </w:rPr>
            </w:pPr>
            <w:r w:rsidRPr="00D5142D">
              <w:rPr>
                <w:rFonts w:cstheme="minorHAnsi"/>
                <w:sz w:val="20"/>
                <w:szCs w:val="20"/>
              </w:rPr>
              <w:t>TRIPOLI EMULSIONES, SA DE CV</w:t>
            </w:r>
          </w:p>
        </w:tc>
      </w:tr>
      <w:tr w:rsidR="00296C19" w:rsidRPr="00373B71" w:rsidTr="00E469D8">
        <w:tc>
          <w:tcPr>
            <w:tcW w:w="4322" w:type="dxa"/>
          </w:tcPr>
          <w:p w:rsidR="00296C19" w:rsidRPr="00373B71" w:rsidRDefault="00296C19" w:rsidP="00E469D8">
            <w:pPr>
              <w:jc w:val="both"/>
              <w:rPr>
                <w:rFonts w:cstheme="minorHAnsi"/>
                <w:sz w:val="20"/>
                <w:szCs w:val="20"/>
              </w:rPr>
            </w:pPr>
            <w:r>
              <w:rPr>
                <w:rFonts w:cstheme="minorHAnsi"/>
                <w:sz w:val="20"/>
                <w:szCs w:val="20"/>
              </w:rPr>
              <w:t>La unidad administrativa solicitante y la responsable de su ejecución</w:t>
            </w:r>
          </w:p>
        </w:tc>
        <w:tc>
          <w:tcPr>
            <w:tcW w:w="4322" w:type="dxa"/>
          </w:tcPr>
          <w:p w:rsidR="00296C19" w:rsidRDefault="00B608DA" w:rsidP="00296C19">
            <w:pPr>
              <w:pStyle w:val="Prrafodelista"/>
              <w:numPr>
                <w:ilvl w:val="0"/>
                <w:numId w:val="1"/>
              </w:numPr>
              <w:rPr>
                <w:rFonts w:cstheme="minorHAnsi"/>
                <w:b/>
                <w:sz w:val="20"/>
                <w:szCs w:val="20"/>
              </w:rPr>
            </w:pPr>
            <w:r>
              <w:rPr>
                <w:rFonts w:cstheme="minorHAnsi"/>
                <w:b/>
                <w:sz w:val="20"/>
                <w:szCs w:val="20"/>
              </w:rPr>
              <w:t>Coord</w:t>
            </w:r>
            <w:r w:rsidR="00FA19D6">
              <w:rPr>
                <w:rFonts w:cstheme="minorHAnsi"/>
                <w:b/>
                <w:sz w:val="20"/>
                <w:szCs w:val="20"/>
              </w:rPr>
              <w:t>inación de Vinculación y Atenció</w:t>
            </w:r>
            <w:r>
              <w:rPr>
                <w:rFonts w:cstheme="minorHAnsi"/>
                <w:b/>
                <w:sz w:val="20"/>
                <w:szCs w:val="20"/>
              </w:rPr>
              <w:t>n</w:t>
            </w:r>
          </w:p>
        </w:tc>
      </w:tr>
      <w:tr w:rsidR="00296C19" w:rsidRPr="00373B71" w:rsidTr="00E469D8">
        <w:tc>
          <w:tcPr>
            <w:tcW w:w="4322" w:type="dxa"/>
          </w:tcPr>
          <w:p w:rsidR="00296C19" w:rsidRPr="00373B71" w:rsidRDefault="00296C19" w:rsidP="00E469D8">
            <w:pPr>
              <w:jc w:val="both"/>
              <w:rPr>
                <w:rFonts w:cstheme="minorHAnsi"/>
                <w:sz w:val="20"/>
                <w:szCs w:val="20"/>
              </w:rPr>
            </w:pPr>
            <w:r>
              <w:rPr>
                <w:rFonts w:cstheme="minorHAnsi"/>
                <w:sz w:val="20"/>
                <w:szCs w:val="20"/>
              </w:rPr>
              <w:t>El número, fecha, el monto del contrato y el plazo de entrega o de ejecución de los servicios u obras</w:t>
            </w:r>
          </w:p>
        </w:tc>
        <w:tc>
          <w:tcPr>
            <w:tcW w:w="4322" w:type="dxa"/>
          </w:tcPr>
          <w:p w:rsidR="004100D6" w:rsidRDefault="00B96FE6" w:rsidP="00B96FE6">
            <w:pPr>
              <w:rPr>
                <w:rFonts w:cstheme="minorHAnsi"/>
                <w:b/>
                <w:sz w:val="20"/>
                <w:szCs w:val="20"/>
              </w:rPr>
            </w:pPr>
            <w:r>
              <w:rPr>
                <w:rFonts w:cstheme="minorHAnsi"/>
                <w:b/>
                <w:sz w:val="20"/>
                <w:szCs w:val="20"/>
              </w:rPr>
              <w:t xml:space="preserve">Número .- </w:t>
            </w:r>
            <w:r w:rsidR="00296C19">
              <w:rPr>
                <w:rFonts w:cstheme="minorHAnsi"/>
                <w:b/>
                <w:sz w:val="20"/>
                <w:szCs w:val="20"/>
              </w:rPr>
              <w:t xml:space="preserve"> </w:t>
            </w:r>
            <w:r w:rsidR="00296C19" w:rsidRPr="004100D6">
              <w:rPr>
                <w:rFonts w:cstheme="minorHAnsi"/>
                <w:sz w:val="20"/>
                <w:szCs w:val="20"/>
              </w:rPr>
              <w:t>PROV.00</w:t>
            </w:r>
            <w:r w:rsidRPr="004100D6">
              <w:rPr>
                <w:rFonts w:cstheme="minorHAnsi"/>
                <w:sz w:val="20"/>
                <w:szCs w:val="20"/>
              </w:rPr>
              <w:t>7</w:t>
            </w:r>
            <w:r w:rsidR="004100D6" w:rsidRPr="004100D6">
              <w:rPr>
                <w:rFonts w:cstheme="minorHAnsi"/>
                <w:sz w:val="20"/>
                <w:szCs w:val="20"/>
              </w:rPr>
              <w:t>/2017 CJ</w:t>
            </w:r>
            <w:r w:rsidR="004100D6">
              <w:rPr>
                <w:rFonts w:cstheme="minorHAnsi"/>
                <w:b/>
                <w:sz w:val="20"/>
                <w:szCs w:val="20"/>
              </w:rPr>
              <w:t xml:space="preserve"> </w:t>
            </w:r>
          </w:p>
          <w:p w:rsidR="004100D6" w:rsidRPr="004100D6" w:rsidRDefault="004100D6" w:rsidP="004100D6">
            <w:pPr>
              <w:rPr>
                <w:rFonts w:cstheme="minorHAnsi"/>
                <w:sz w:val="20"/>
                <w:szCs w:val="20"/>
              </w:rPr>
            </w:pPr>
            <w:r>
              <w:rPr>
                <w:rFonts w:cstheme="minorHAnsi"/>
                <w:b/>
                <w:sz w:val="20"/>
                <w:szCs w:val="20"/>
              </w:rPr>
              <w:t xml:space="preserve">Fecha.-      </w:t>
            </w:r>
            <w:r w:rsidR="00B96FE6">
              <w:rPr>
                <w:rFonts w:cstheme="minorHAnsi"/>
                <w:b/>
                <w:sz w:val="20"/>
                <w:szCs w:val="20"/>
              </w:rPr>
              <w:t xml:space="preserve"> </w:t>
            </w:r>
            <w:r w:rsidR="00B96FE6" w:rsidRPr="004100D6">
              <w:rPr>
                <w:rFonts w:cstheme="minorHAnsi"/>
                <w:sz w:val="20"/>
                <w:szCs w:val="20"/>
              </w:rPr>
              <w:t>05</w:t>
            </w:r>
            <w:r w:rsidR="00296C19" w:rsidRPr="004100D6">
              <w:rPr>
                <w:rFonts w:cstheme="minorHAnsi"/>
                <w:sz w:val="20"/>
                <w:szCs w:val="20"/>
              </w:rPr>
              <w:t xml:space="preserve"> de Ma</w:t>
            </w:r>
            <w:r w:rsidR="00B96FE6" w:rsidRPr="004100D6">
              <w:rPr>
                <w:rFonts w:cstheme="minorHAnsi"/>
                <w:sz w:val="20"/>
                <w:szCs w:val="20"/>
              </w:rPr>
              <w:t>yo del 2017</w:t>
            </w:r>
          </w:p>
          <w:p w:rsidR="004100D6" w:rsidRDefault="004100D6" w:rsidP="004100D6">
            <w:pPr>
              <w:rPr>
                <w:rFonts w:cstheme="minorHAnsi"/>
                <w:b/>
                <w:sz w:val="20"/>
                <w:szCs w:val="20"/>
              </w:rPr>
            </w:pPr>
            <w:r>
              <w:rPr>
                <w:rFonts w:cstheme="minorHAnsi"/>
                <w:b/>
                <w:sz w:val="20"/>
                <w:szCs w:val="20"/>
              </w:rPr>
              <w:t>Monto</w:t>
            </w:r>
            <w:r w:rsidRPr="004100D6">
              <w:rPr>
                <w:rFonts w:cstheme="minorHAnsi"/>
                <w:sz w:val="20"/>
                <w:szCs w:val="20"/>
              </w:rPr>
              <w:t xml:space="preserve">.- </w:t>
            </w:r>
            <w:r>
              <w:rPr>
                <w:rFonts w:cstheme="minorHAnsi"/>
                <w:sz w:val="20"/>
                <w:szCs w:val="20"/>
              </w:rPr>
              <w:t xml:space="preserve">    </w:t>
            </w:r>
            <w:r w:rsidR="00B96FE6" w:rsidRPr="004100D6">
              <w:rPr>
                <w:rFonts w:cstheme="minorHAnsi"/>
                <w:sz w:val="20"/>
                <w:szCs w:val="20"/>
              </w:rPr>
              <w:t>$ 91,724.61</w:t>
            </w:r>
            <w:r w:rsidR="00296C19" w:rsidRPr="004100D6">
              <w:rPr>
                <w:rFonts w:cstheme="minorHAnsi"/>
                <w:sz w:val="20"/>
                <w:szCs w:val="20"/>
              </w:rPr>
              <w:t xml:space="preserve"> (son </w:t>
            </w:r>
            <w:r w:rsidR="00B96FE6" w:rsidRPr="004100D6">
              <w:rPr>
                <w:rFonts w:cstheme="minorHAnsi"/>
                <w:sz w:val="20"/>
                <w:szCs w:val="20"/>
              </w:rPr>
              <w:t>noventa</w:t>
            </w:r>
            <w:r w:rsidR="00296C19" w:rsidRPr="004100D6">
              <w:rPr>
                <w:rFonts w:cstheme="minorHAnsi"/>
                <w:sz w:val="20"/>
                <w:szCs w:val="20"/>
              </w:rPr>
              <w:t xml:space="preserve"> y </w:t>
            </w:r>
            <w:r>
              <w:rPr>
                <w:rFonts w:cstheme="minorHAnsi"/>
                <w:sz w:val="20"/>
                <w:szCs w:val="20"/>
              </w:rPr>
              <w:t>un mil sete</w:t>
            </w:r>
            <w:r w:rsidR="00B96FE6" w:rsidRPr="004100D6">
              <w:rPr>
                <w:rFonts w:cstheme="minorHAnsi"/>
                <w:sz w:val="20"/>
                <w:szCs w:val="20"/>
              </w:rPr>
              <w:t>cientos veinticuatro</w:t>
            </w:r>
            <w:r w:rsidR="00296C19" w:rsidRPr="004100D6">
              <w:rPr>
                <w:rFonts w:cstheme="minorHAnsi"/>
                <w:sz w:val="20"/>
                <w:szCs w:val="20"/>
              </w:rPr>
              <w:t xml:space="preserve"> pesos, </w:t>
            </w:r>
            <w:r w:rsidR="00B96FE6" w:rsidRPr="004100D6">
              <w:rPr>
                <w:rFonts w:cstheme="minorHAnsi"/>
                <w:sz w:val="20"/>
                <w:szCs w:val="20"/>
              </w:rPr>
              <w:t>61</w:t>
            </w:r>
            <w:r w:rsidR="00296C19" w:rsidRPr="004100D6">
              <w:rPr>
                <w:rFonts w:cstheme="minorHAnsi"/>
                <w:sz w:val="20"/>
                <w:szCs w:val="20"/>
              </w:rPr>
              <w:t xml:space="preserve">/100 </w:t>
            </w:r>
            <w:proofErr w:type="spellStart"/>
            <w:r w:rsidR="00296C19" w:rsidRPr="004100D6">
              <w:rPr>
                <w:rFonts w:cstheme="minorHAnsi"/>
                <w:sz w:val="20"/>
                <w:szCs w:val="20"/>
              </w:rPr>
              <w:t>mn</w:t>
            </w:r>
            <w:proofErr w:type="spellEnd"/>
            <w:r w:rsidR="00296C19" w:rsidRPr="004100D6">
              <w:rPr>
                <w:rFonts w:cstheme="minorHAnsi"/>
                <w:sz w:val="20"/>
                <w:szCs w:val="20"/>
              </w:rPr>
              <w:t>)</w:t>
            </w:r>
          </w:p>
          <w:p w:rsidR="00296C19" w:rsidRPr="009A7594" w:rsidRDefault="004100D6" w:rsidP="004100D6">
            <w:pPr>
              <w:rPr>
                <w:rFonts w:cstheme="minorHAnsi"/>
                <w:b/>
                <w:sz w:val="20"/>
                <w:szCs w:val="20"/>
              </w:rPr>
            </w:pPr>
            <w:r>
              <w:rPr>
                <w:rFonts w:cstheme="minorHAnsi"/>
                <w:b/>
                <w:sz w:val="20"/>
                <w:szCs w:val="20"/>
              </w:rPr>
              <w:t>Plazo de entrega:</w:t>
            </w:r>
            <w:r w:rsidR="00296C19" w:rsidRPr="004100D6">
              <w:rPr>
                <w:rFonts w:cstheme="minorHAnsi"/>
                <w:sz w:val="20"/>
                <w:szCs w:val="20"/>
              </w:rPr>
              <w:t xml:space="preserve"> con fecha de entrega del </w:t>
            </w:r>
            <w:r w:rsidR="00B96FE6" w:rsidRPr="004100D6">
              <w:rPr>
                <w:rFonts w:cstheme="minorHAnsi"/>
                <w:sz w:val="20"/>
                <w:szCs w:val="20"/>
              </w:rPr>
              <w:t>servicio el 07 de mayo 2017</w:t>
            </w:r>
            <w:r w:rsidR="00296C19" w:rsidRPr="004100D6">
              <w:rPr>
                <w:rFonts w:cstheme="minorHAnsi"/>
                <w:sz w:val="20"/>
                <w:szCs w:val="20"/>
              </w:rPr>
              <w:t>.</w:t>
            </w:r>
          </w:p>
        </w:tc>
      </w:tr>
      <w:tr w:rsidR="004100D6" w:rsidRPr="00373B71" w:rsidTr="00E469D8">
        <w:tc>
          <w:tcPr>
            <w:tcW w:w="4322" w:type="dxa"/>
          </w:tcPr>
          <w:p w:rsidR="004100D6" w:rsidRPr="00373B71" w:rsidRDefault="004100D6" w:rsidP="00E469D8">
            <w:pPr>
              <w:jc w:val="both"/>
              <w:rPr>
                <w:rFonts w:cstheme="minorHAnsi"/>
                <w:sz w:val="20"/>
                <w:szCs w:val="20"/>
              </w:rPr>
            </w:pPr>
            <w:r w:rsidRPr="00373B71">
              <w:rPr>
                <w:rFonts w:cstheme="minorHAnsi"/>
                <w:sz w:val="20"/>
                <w:szCs w:val="20"/>
              </w:rPr>
              <w:t>Los Mecanismos de vigilancia y supervisión, incluyendo, en su caso, los estudios de impacto urbano y ambiental, según corresponda.</w:t>
            </w:r>
          </w:p>
        </w:tc>
        <w:tc>
          <w:tcPr>
            <w:tcW w:w="4322" w:type="dxa"/>
          </w:tcPr>
          <w:p w:rsidR="004100D6" w:rsidRPr="00373B71" w:rsidRDefault="004100D6" w:rsidP="00E469D8">
            <w:pPr>
              <w:jc w:val="both"/>
              <w:rPr>
                <w:rFonts w:cstheme="minorHAnsi"/>
                <w:sz w:val="20"/>
                <w:szCs w:val="20"/>
              </w:rPr>
            </w:pPr>
            <w:r w:rsidRPr="00373B71">
              <w:rPr>
                <w:rFonts w:cstheme="minorHAnsi"/>
                <w:sz w:val="20"/>
                <w:szCs w:val="20"/>
              </w:rPr>
              <w:t>Los Mecanismos de vigilancia y supervisión, se llevan a cabo conforme a lo dispuesto en la Ley de la materia y en caso de irregularidad se aplicaran las sanciones contempladas en el artículo 116 de la Ley de Compras Gubernamentales, Enajenaciones y Contratación de Servicios del Estado de Jalisco y sus Municipios.</w:t>
            </w:r>
          </w:p>
          <w:p w:rsidR="004100D6" w:rsidRPr="00373B71" w:rsidRDefault="004100D6" w:rsidP="00E469D8">
            <w:pPr>
              <w:jc w:val="both"/>
              <w:rPr>
                <w:rFonts w:cstheme="minorHAnsi"/>
                <w:sz w:val="20"/>
                <w:szCs w:val="20"/>
              </w:rPr>
            </w:pPr>
          </w:p>
          <w:p w:rsidR="004100D6" w:rsidRPr="00373B71" w:rsidRDefault="004100D6" w:rsidP="00E469D8">
            <w:pPr>
              <w:jc w:val="both"/>
              <w:rPr>
                <w:rFonts w:cstheme="minorHAnsi"/>
                <w:sz w:val="20"/>
                <w:szCs w:val="20"/>
              </w:rPr>
            </w:pPr>
            <w:r w:rsidRPr="00373B71">
              <w:rPr>
                <w:rFonts w:cstheme="minorHAnsi"/>
                <w:sz w:val="20"/>
                <w:szCs w:val="20"/>
              </w:rPr>
              <w:t xml:space="preserve">En relación a los estudios de impacto urbano y </w:t>
            </w:r>
            <w:r w:rsidRPr="00373B71">
              <w:rPr>
                <w:rFonts w:cstheme="minorHAnsi"/>
                <w:sz w:val="20"/>
                <w:szCs w:val="20"/>
              </w:rPr>
              <w:lastRenderedPageBreak/>
              <w:t xml:space="preserve">ambiental, se hace de su conocimiento que la licitación en referencia no corresponde a obra pública, por lo tanto no les son aplicables dichos estudios. </w:t>
            </w:r>
          </w:p>
        </w:tc>
      </w:tr>
      <w:tr w:rsidR="004100D6" w:rsidRPr="00373B71" w:rsidTr="00E469D8">
        <w:tc>
          <w:tcPr>
            <w:tcW w:w="4322" w:type="dxa"/>
          </w:tcPr>
          <w:p w:rsidR="004100D6" w:rsidRPr="00373B71" w:rsidRDefault="004100D6" w:rsidP="00E469D8">
            <w:pPr>
              <w:jc w:val="both"/>
              <w:rPr>
                <w:rFonts w:cstheme="minorHAnsi"/>
                <w:sz w:val="20"/>
                <w:szCs w:val="20"/>
              </w:rPr>
            </w:pPr>
            <w:r w:rsidRPr="00373B71">
              <w:rPr>
                <w:rFonts w:cstheme="minorHAnsi"/>
                <w:sz w:val="20"/>
                <w:szCs w:val="20"/>
              </w:rPr>
              <w:lastRenderedPageBreak/>
              <w:t>Los informes de avances físico y financiero sobre las obras o servicios contratados.</w:t>
            </w:r>
          </w:p>
          <w:p w:rsidR="004100D6" w:rsidRPr="00373B71" w:rsidRDefault="004100D6" w:rsidP="00E469D8">
            <w:pPr>
              <w:jc w:val="both"/>
              <w:rPr>
                <w:rFonts w:cstheme="minorHAnsi"/>
                <w:sz w:val="20"/>
                <w:szCs w:val="20"/>
              </w:rPr>
            </w:pPr>
          </w:p>
        </w:tc>
        <w:tc>
          <w:tcPr>
            <w:tcW w:w="4322" w:type="dxa"/>
          </w:tcPr>
          <w:p w:rsidR="004100D6" w:rsidRPr="00373B71" w:rsidRDefault="004100D6" w:rsidP="00E469D8">
            <w:pPr>
              <w:jc w:val="both"/>
              <w:rPr>
                <w:rFonts w:cstheme="minorHAnsi"/>
                <w:sz w:val="20"/>
                <w:szCs w:val="20"/>
              </w:rPr>
            </w:pPr>
            <w:r w:rsidRPr="00373B71">
              <w:rPr>
                <w:rFonts w:cstheme="minorHAnsi"/>
                <w:sz w:val="20"/>
                <w:szCs w:val="20"/>
              </w:rPr>
              <w:t>No aplica para el presente proceso ya que se trata de un servicio que se paga contra</w:t>
            </w:r>
            <w:r>
              <w:rPr>
                <w:rFonts w:cstheme="minorHAnsi"/>
                <w:sz w:val="20"/>
                <w:szCs w:val="20"/>
              </w:rPr>
              <w:t>-</w:t>
            </w:r>
            <w:r w:rsidRPr="00373B71">
              <w:rPr>
                <w:rFonts w:cstheme="minorHAnsi"/>
                <w:sz w:val="20"/>
                <w:szCs w:val="20"/>
              </w:rPr>
              <w:t>entrega.</w:t>
            </w:r>
          </w:p>
        </w:tc>
      </w:tr>
      <w:tr w:rsidR="004100D6" w:rsidRPr="00373B71" w:rsidTr="00E469D8">
        <w:tc>
          <w:tcPr>
            <w:tcW w:w="4322" w:type="dxa"/>
          </w:tcPr>
          <w:p w:rsidR="004100D6" w:rsidRPr="00373B71" w:rsidRDefault="004100D6" w:rsidP="00E469D8">
            <w:pPr>
              <w:jc w:val="both"/>
              <w:rPr>
                <w:rFonts w:cstheme="minorHAnsi"/>
                <w:sz w:val="20"/>
                <w:szCs w:val="20"/>
              </w:rPr>
            </w:pPr>
            <w:r w:rsidRPr="00373B71">
              <w:rPr>
                <w:rFonts w:cstheme="minorHAnsi"/>
                <w:sz w:val="20"/>
                <w:szCs w:val="20"/>
              </w:rPr>
              <w:t>El convenio de terminación.</w:t>
            </w:r>
          </w:p>
          <w:p w:rsidR="004100D6" w:rsidRPr="00373B71" w:rsidRDefault="004100D6" w:rsidP="00E469D8">
            <w:pPr>
              <w:jc w:val="both"/>
              <w:rPr>
                <w:rFonts w:cstheme="minorHAnsi"/>
                <w:sz w:val="20"/>
                <w:szCs w:val="20"/>
              </w:rPr>
            </w:pPr>
          </w:p>
          <w:p w:rsidR="004100D6" w:rsidRPr="00373B71" w:rsidRDefault="004100D6" w:rsidP="00E469D8">
            <w:pPr>
              <w:jc w:val="both"/>
              <w:rPr>
                <w:rFonts w:cstheme="minorHAnsi"/>
                <w:sz w:val="20"/>
                <w:szCs w:val="20"/>
              </w:rPr>
            </w:pPr>
          </w:p>
        </w:tc>
        <w:tc>
          <w:tcPr>
            <w:tcW w:w="4322" w:type="dxa"/>
          </w:tcPr>
          <w:p w:rsidR="004100D6" w:rsidRDefault="004100D6" w:rsidP="00E469D8">
            <w:pPr>
              <w:rPr>
                <w:rFonts w:cstheme="minorHAnsi"/>
                <w:sz w:val="20"/>
                <w:szCs w:val="20"/>
              </w:rPr>
            </w:pPr>
            <w:r w:rsidRPr="00373B71">
              <w:rPr>
                <w:rFonts w:cstheme="minorHAnsi"/>
                <w:sz w:val="20"/>
                <w:szCs w:val="20"/>
              </w:rPr>
              <w:t>Se da por terminada la relación una vez terminado el servicio correspondiente y liquidado el monto total contratado.</w:t>
            </w:r>
          </w:p>
          <w:p w:rsidR="004100D6" w:rsidRPr="00373B71" w:rsidRDefault="004100D6" w:rsidP="00E469D8">
            <w:pPr>
              <w:jc w:val="both"/>
              <w:rPr>
                <w:rFonts w:cstheme="minorHAnsi"/>
                <w:sz w:val="20"/>
                <w:szCs w:val="20"/>
              </w:rPr>
            </w:pPr>
          </w:p>
        </w:tc>
      </w:tr>
      <w:tr w:rsidR="004100D6" w:rsidRPr="00373B71" w:rsidTr="00E469D8">
        <w:tc>
          <w:tcPr>
            <w:tcW w:w="4322" w:type="dxa"/>
          </w:tcPr>
          <w:p w:rsidR="004100D6" w:rsidRPr="00373B71" w:rsidRDefault="004100D6" w:rsidP="00E469D8">
            <w:pPr>
              <w:jc w:val="both"/>
              <w:rPr>
                <w:rFonts w:cstheme="minorHAnsi"/>
                <w:sz w:val="20"/>
                <w:szCs w:val="20"/>
              </w:rPr>
            </w:pPr>
            <w:r w:rsidRPr="00373B71">
              <w:rPr>
                <w:rFonts w:cstheme="minorHAnsi"/>
                <w:sz w:val="20"/>
                <w:szCs w:val="20"/>
              </w:rPr>
              <w:t>Finiquito.</w:t>
            </w:r>
          </w:p>
        </w:tc>
        <w:tc>
          <w:tcPr>
            <w:tcW w:w="4322" w:type="dxa"/>
          </w:tcPr>
          <w:p w:rsidR="004100D6" w:rsidRPr="00373B71" w:rsidRDefault="004100D6" w:rsidP="00E469D8">
            <w:pPr>
              <w:jc w:val="both"/>
              <w:rPr>
                <w:rFonts w:cstheme="minorHAnsi"/>
                <w:sz w:val="20"/>
                <w:szCs w:val="20"/>
              </w:rPr>
            </w:pPr>
            <w:r>
              <w:rPr>
                <w:rFonts w:cstheme="minorHAnsi"/>
                <w:sz w:val="20"/>
                <w:szCs w:val="20"/>
              </w:rPr>
              <w:t>Se anexa la Transferencia.</w:t>
            </w:r>
          </w:p>
        </w:tc>
      </w:tr>
    </w:tbl>
    <w:p w:rsidR="00EC0A30" w:rsidRDefault="00F96449"/>
    <w:sectPr w:rsidR="00EC0A30" w:rsidSect="00373B71">
      <w:headerReference w:type="default" r:id="rId7"/>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6449" w:rsidRDefault="00F96449">
      <w:pPr>
        <w:spacing w:after="0" w:line="240" w:lineRule="auto"/>
      </w:pPr>
      <w:r>
        <w:separator/>
      </w:r>
    </w:p>
  </w:endnote>
  <w:endnote w:type="continuationSeparator" w:id="0">
    <w:p w:rsidR="00F96449" w:rsidRDefault="00F96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6449" w:rsidRDefault="00F96449">
      <w:pPr>
        <w:spacing w:after="0" w:line="240" w:lineRule="auto"/>
      </w:pPr>
      <w:r>
        <w:separator/>
      </w:r>
    </w:p>
  </w:footnote>
  <w:footnote w:type="continuationSeparator" w:id="0">
    <w:p w:rsidR="00F96449" w:rsidRDefault="00F96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B71" w:rsidRDefault="00B608DA">
    <w:pPr>
      <w:pStyle w:val="Encabezado"/>
    </w:pPr>
    <w:r>
      <w:t xml:space="preserve">     </w:t>
    </w:r>
    <w:r>
      <w:rPr>
        <w:rFonts w:ascii="Arial" w:hAnsi="Arial" w:cs="Arial"/>
        <w:b/>
        <w:noProof/>
        <w:lang w:eastAsia="es-ES"/>
      </w:rPr>
      <w:drawing>
        <wp:inline distT="0" distB="0" distL="0" distR="0" wp14:anchorId="3543FAB3" wp14:editId="0BF563BF">
          <wp:extent cx="1476375" cy="4857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85775"/>
                  </a:xfrm>
                  <a:prstGeom prst="rect">
                    <a:avLst/>
                  </a:prstGeom>
                  <a:solidFill>
                    <a:srgbClr val="FFFFFF"/>
                  </a:solidFill>
                  <a:ln>
                    <a:noFill/>
                  </a:ln>
                </pic:spPr>
              </pic:pic>
            </a:graphicData>
          </a:graphic>
        </wp:inline>
      </w:drawing>
    </w:r>
    <w:r>
      <w:t xml:space="preserve">                                                         </w:t>
    </w:r>
    <w:r>
      <w:rPr>
        <w:rFonts w:ascii="Arial" w:hAnsi="Arial" w:cs="Arial"/>
        <w:b/>
        <w:noProof/>
        <w:lang w:eastAsia="es-ES"/>
      </w:rPr>
      <w:drawing>
        <wp:inline distT="0" distB="0" distL="0" distR="0" wp14:anchorId="60004B22" wp14:editId="064F52C3">
          <wp:extent cx="1638300" cy="4191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19100"/>
                  </a:xfrm>
                  <a:prstGeom prst="rect">
                    <a:avLst/>
                  </a:prstGeom>
                  <a:solidFill>
                    <a:srgbClr val="FFFFFF"/>
                  </a:solid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9831B8"/>
    <w:multiLevelType w:val="hybridMultilevel"/>
    <w:tmpl w:val="9692F048"/>
    <w:lvl w:ilvl="0" w:tplc="CD92E7DC">
      <w:numFmt w:val="bullet"/>
      <w:lvlText w:val=""/>
      <w:lvlJc w:val="left"/>
      <w:pPr>
        <w:ind w:left="720" w:hanging="360"/>
      </w:pPr>
      <w:rPr>
        <w:rFonts w:ascii="Symbol" w:eastAsiaTheme="minorHAns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C19"/>
    <w:rsid w:val="00007B3F"/>
    <w:rsid w:val="00122D91"/>
    <w:rsid w:val="001D3079"/>
    <w:rsid w:val="00210250"/>
    <w:rsid w:val="00296C19"/>
    <w:rsid w:val="004100D6"/>
    <w:rsid w:val="007327C2"/>
    <w:rsid w:val="00B608DA"/>
    <w:rsid w:val="00B96FE6"/>
    <w:rsid w:val="00C32462"/>
    <w:rsid w:val="00D5142D"/>
    <w:rsid w:val="00F7352F"/>
    <w:rsid w:val="00F96449"/>
    <w:rsid w:val="00FA19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7F79F"/>
  <w15:docId w15:val="{71B85D1E-5903-4B06-BF44-08EA701A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6C19"/>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96C1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96C19"/>
    <w:pPr>
      <w:ind w:left="720"/>
      <w:contextualSpacing/>
    </w:pPr>
  </w:style>
  <w:style w:type="paragraph" w:styleId="Encabezado">
    <w:name w:val="header"/>
    <w:basedOn w:val="Normal"/>
    <w:link w:val="EncabezadoCar"/>
    <w:uiPriority w:val="99"/>
    <w:unhideWhenUsed/>
    <w:rsid w:val="00296C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6C19"/>
    <w:rPr>
      <w:lang w:val="es-ES"/>
    </w:rPr>
  </w:style>
  <w:style w:type="paragraph" w:styleId="Textodeglobo">
    <w:name w:val="Balloon Text"/>
    <w:basedOn w:val="Normal"/>
    <w:link w:val="TextodegloboCar"/>
    <w:uiPriority w:val="99"/>
    <w:semiHidden/>
    <w:unhideWhenUsed/>
    <w:rsid w:val="00296C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C19"/>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525</Words>
  <Characters>2890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Unidad Transparencia</cp:lastModifiedBy>
  <cp:revision>4</cp:revision>
  <cp:lastPrinted>2018-11-21T15:06:00Z</cp:lastPrinted>
  <dcterms:created xsi:type="dcterms:W3CDTF">2018-11-21T17:47:00Z</dcterms:created>
  <dcterms:modified xsi:type="dcterms:W3CDTF">2018-11-21T19:17:00Z</dcterms:modified>
</cp:coreProperties>
</file>